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3A514">
      <w:pPr>
        <w:widowControl/>
        <w:shd w:val="clear" w:color="auto" w:fill="FFFFFF"/>
        <w:spacing w:line="495" w:lineRule="atLeast"/>
        <w:jc w:val="left"/>
        <w:outlineLvl w:val="1"/>
        <w:rPr>
          <w:rFonts w:hint="default"/>
        </w:rPr>
      </w:pPr>
      <w:bookmarkStart w:id="0" w:name="_Toc53217151"/>
      <w:bookmarkStart w:id="28" w:name="_GoBack"/>
      <w:bookmarkEnd w:id="28"/>
      <w:r>
        <w:rPr>
          <w:rFonts w:ascii="宋体" w:hAnsi="宋体" w:eastAsia="宋体" w:cs="Arial"/>
          <w:b/>
          <w:kern w:val="0"/>
          <w:szCs w:val="32"/>
        </w:rPr>
        <w:t>1、项目概况</w:t>
      </w:r>
      <w:bookmarkEnd w:id="0"/>
    </w:p>
    <w:p w14:paraId="11D615B0">
      <w:pPr>
        <w:spacing w:line="360" w:lineRule="auto"/>
        <w:ind w:firstLine="480" w:firstLineChars="200"/>
        <w:rPr>
          <w:rFonts w:hint="default" w:ascii="宋体" w:hAnsi="宋体" w:eastAsia="宋体" w:cs="Arial"/>
          <w:kern w:val="0"/>
          <w:sz w:val="24"/>
        </w:rPr>
      </w:pPr>
      <w:r>
        <w:rPr>
          <w:rFonts w:ascii="宋体" w:hAnsi="宋体" w:eastAsia="宋体" w:cs="Arial"/>
          <w:kern w:val="0"/>
          <w:sz w:val="24"/>
        </w:rPr>
        <w:t>依据《中华人民共和国网络安全法》《信息安全等级保护管理办法》的相关要求，对皖北经济技术学校重要信息系统进行网络安全等级保护测评，包括：安全技术测评，安全管理测评，工具测试，编制系统安全整改方案，编制测评报告等。</w:t>
      </w:r>
    </w:p>
    <w:p w14:paraId="750A196B">
      <w:pPr>
        <w:widowControl/>
        <w:shd w:val="clear" w:color="auto" w:fill="FFFFFF"/>
        <w:spacing w:line="495" w:lineRule="atLeast"/>
        <w:jc w:val="left"/>
        <w:outlineLvl w:val="1"/>
        <w:rPr>
          <w:rFonts w:hint="default" w:ascii="宋体" w:hAnsi="宋体" w:eastAsia="宋体" w:cs="Arial"/>
          <w:b/>
          <w:kern w:val="0"/>
          <w:szCs w:val="32"/>
        </w:rPr>
      </w:pPr>
      <w:r>
        <w:rPr>
          <w:rFonts w:ascii="宋体" w:hAnsi="宋体" w:eastAsia="宋体" w:cs="Arial"/>
          <w:b/>
          <w:kern w:val="0"/>
          <w:szCs w:val="32"/>
        </w:rPr>
        <w:t>2、资格要求</w:t>
      </w:r>
    </w:p>
    <w:p w14:paraId="79370564">
      <w:pPr>
        <w:spacing w:line="360" w:lineRule="auto"/>
        <w:ind w:firstLine="480" w:firstLineChars="200"/>
        <w:rPr>
          <w:rFonts w:hint="default" w:ascii="宋体" w:hAnsi="宋体" w:eastAsia="宋体"/>
          <w:sz w:val="24"/>
        </w:rPr>
      </w:pPr>
      <w:r>
        <w:rPr>
          <w:rFonts w:ascii="宋体" w:hAnsi="宋体" w:eastAsia="宋体"/>
          <w:sz w:val="24"/>
        </w:rPr>
        <w:t>1、投标人应符合《中华人民共和国政府采购法》第二十二条规定；</w:t>
      </w:r>
    </w:p>
    <w:p w14:paraId="19F1A12B">
      <w:pPr>
        <w:spacing w:line="360" w:lineRule="auto"/>
        <w:ind w:firstLine="480" w:firstLineChars="200"/>
        <w:rPr>
          <w:rFonts w:hint="default" w:ascii="宋体" w:hAnsi="宋体" w:eastAsia="宋体"/>
          <w:sz w:val="24"/>
        </w:rPr>
      </w:pPr>
      <w:r>
        <w:rPr>
          <w:rFonts w:ascii="宋体" w:hAnsi="宋体" w:eastAsia="宋体"/>
          <w:sz w:val="24"/>
        </w:rPr>
        <w:t>2、投标人须备有效的网络安全服务认证证书等级保护测评服务认证（或处于有效期内的网络安全等级测评与检测评估机构服务认证证书）；</w:t>
      </w:r>
    </w:p>
    <w:p w14:paraId="2F29F316">
      <w:pPr>
        <w:spacing w:line="360" w:lineRule="auto"/>
        <w:ind w:firstLine="480" w:firstLineChars="200"/>
        <w:rPr>
          <w:rFonts w:hint="default" w:ascii="宋体" w:hAnsi="宋体" w:eastAsia="宋体"/>
          <w:sz w:val="24"/>
        </w:rPr>
      </w:pPr>
      <w:r>
        <w:rPr>
          <w:rFonts w:ascii="宋体" w:hAnsi="宋体" w:eastAsia="宋体"/>
          <w:sz w:val="24"/>
        </w:rPr>
        <w:t>3、投标人须具备1S022301业务连续性管理体系认证证书；</w:t>
      </w:r>
    </w:p>
    <w:p w14:paraId="3D03BACC">
      <w:pPr>
        <w:spacing w:line="360" w:lineRule="auto"/>
        <w:ind w:firstLine="480" w:firstLineChars="200"/>
        <w:rPr>
          <w:rFonts w:hint="default" w:ascii="宋体" w:hAnsi="宋体" w:eastAsia="宋体"/>
          <w:sz w:val="24"/>
        </w:rPr>
      </w:pPr>
      <w:r>
        <w:rPr>
          <w:rFonts w:ascii="宋体" w:hAnsi="宋体" w:eastAsia="宋体"/>
          <w:sz w:val="24"/>
        </w:rPr>
        <w:t>4、投标人须具备中国网络安全审查认证和市场监管大数据中心(原中国网络安全审查技术与认证中心)颁发的信息安全风险评估服务资质证书(二级及以上)和信息系统安全运维服务资质证书(三级及以上)；</w:t>
      </w:r>
    </w:p>
    <w:p w14:paraId="63178541">
      <w:pPr>
        <w:spacing w:line="360" w:lineRule="auto"/>
        <w:ind w:firstLine="480" w:firstLineChars="200"/>
        <w:rPr>
          <w:rFonts w:hint="default" w:ascii="宋体" w:hAnsi="宋体" w:eastAsia="宋体"/>
          <w:sz w:val="24"/>
        </w:rPr>
      </w:pPr>
      <w:r>
        <w:rPr>
          <w:rFonts w:ascii="宋体" w:hAnsi="宋体" w:eastAsia="宋体"/>
          <w:sz w:val="24"/>
        </w:rPr>
        <w:t>注：需提供证书复印件或扫描件。</w:t>
      </w:r>
    </w:p>
    <w:p w14:paraId="5D0ABBAE">
      <w:pPr>
        <w:widowControl/>
        <w:shd w:val="clear" w:color="auto" w:fill="FFFFFF"/>
        <w:spacing w:line="495" w:lineRule="atLeast"/>
        <w:jc w:val="left"/>
        <w:outlineLvl w:val="1"/>
        <w:rPr>
          <w:rFonts w:hint="default" w:ascii="宋体" w:hAnsi="宋体" w:eastAsia="宋体" w:cs="Arial"/>
          <w:b/>
          <w:kern w:val="0"/>
          <w:szCs w:val="32"/>
        </w:rPr>
      </w:pPr>
      <w:bookmarkStart w:id="1" w:name="_Toc53217152"/>
      <w:r>
        <w:rPr>
          <w:rFonts w:ascii="宋体" w:hAnsi="宋体" w:eastAsia="宋体" w:cs="Arial"/>
          <w:b/>
          <w:kern w:val="0"/>
          <w:szCs w:val="32"/>
        </w:rPr>
        <w:t>3、项目实施范围</w:t>
      </w:r>
      <w:bookmarkEnd w:id="1"/>
    </w:p>
    <w:p w14:paraId="7FCEEBA2">
      <w:pPr>
        <w:spacing w:after="156" w:afterLines="50" w:line="360" w:lineRule="auto"/>
        <w:rPr>
          <w:rFonts w:hint="default" w:ascii="宋体" w:hAnsi="宋体" w:eastAsia="宋体" w:cs="Arial"/>
          <w:kern w:val="0"/>
          <w:sz w:val="24"/>
        </w:rPr>
      </w:pPr>
      <w:r>
        <w:rPr>
          <w:rFonts w:ascii="宋体" w:hAnsi="宋体" w:eastAsia="宋体" w:cs="Arial"/>
          <w:kern w:val="0"/>
          <w:sz w:val="24"/>
        </w:rPr>
        <w:t>本次参于网络安全等级保护测评的系统如下：</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3885"/>
        <w:gridCol w:w="2755"/>
        <w:gridCol w:w="1216"/>
      </w:tblGrid>
      <w:tr w14:paraId="5101F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16" w:type="dxa"/>
            <w:shd w:val="clear" w:color="000000" w:fill="F2F2F2"/>
          </w:tcPr>
          <w:p w14:paraId="4032957F">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序号</w:t>
            </w:r>
          </w:p>
        </w:tc>
        <w:tc>
          <w:tcPr>
            <w:tcW w:w="3885" w:type="dxa"/>
            <w:shd w:val="clear" w:color="000000" w:fill="F2F2F2"/>
          </w:tcPr>
          <w:p w14:paraId="6F9DF57C">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待测系统名称</w:t>
            </w:r>
          </w:p>
        </w:tc>
        <w:tc>
          <w:tcPr>
            <w:tcW w:w="2755" w:type="dxa"/>
            <w:shd w:val="clear" w:color="000000" w:fill="F2F2F2"/>
          </w:tcPr>
          <w:p w14:paraId="19DF99C6">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安全保护等级</w:t>
            </w:r>
          </w:p>
        </w:tc>
        <w:tc>
          <w:tcPr>
            <w:tcW w:w="1216" w:type="dxa"/>
            <w:shd w:val="clear" w:color="000000" w:fill="F2F2F2"/>
          </w:tcPr>
          <w:p w14:paraId="321B00FF">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备注</w:t>
            </w:r>
          </w:p>
        </w:tc>
      </w:tr>
      <w:tr w14:paraId="16AF8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16" w:type="dxa"/>
            <w:shd w:val="clear" w:color="auto" w:fill="auto"/>
          </w:tcPr>
          <w:p w14:paraId="533CB829">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1</w:t>
            </w:r>
          </w:p>
        </w:tc>
        <w:tc>
          <w:tcPr>
            <w:tcW w:w="3885" w:type="dxa"/>
            <w:shd w:val="clear" w:color="auto" w:fill="auto"/>
          </w:tcPr>
          <w:p w14:paraId="5B71E3B2">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YN智慧校园系统</w:t>
            </w:r>
          </w:p>
        </w:tc>
        <w:tc>
          <w:tcPr>
            <w:tcW w:w="2755" w:type="dxa"/>
            <w:shd w:val="clear" w:color="auto" w:fill="auto"/>
          </w:tcPr>
          <w:p w14:paraId="3B390599">
            <w:pPr>
              <w:widowControl/>
              <w:spacing w:line="360" w:lineRule="auto"/>
              <w:contextualSpacing/>
              <w:jc w:val="center"/>
              <w:rPr>
                <w:rFonts w:hint="default" w:ascii="宋体" w:hAnsi="宋体" w:eastAsia="宋体" w:cs="宋体"/>
                <w:color w:val="000000"/>
                <w:kern w:val="0"/>
                <w:sz w:val="24"/>
                <w:szCs w:val="24"/>
              </w:rPr>
            </w:pPr>
            <w:r>
              <w:rPr>
                <w:rFonts w:ascii="宋体" w:hAnsi="宋体" w:eastAsia="宋体" w:cs="宋体"/>
                <w:color w:val="000000"/>
                <w:kern w:val="0"/>
                <w:sz w:val="24"/>
                <w:szCs w:val="24"/>
              </w:rPr>
              <w:t>二级</w:t>
            </w:r>
          </w:p>
        </w:tc>
        <w:tc>
          <w:tcPr>
            <w:tcW w:w="1216" w:type="dxa"/>
            <w:shd w:val="clear" w:color="auto" w:fill="auto"/>
          </w:tcPr>
          <w:p w14:paraId="15988192">
            <w:pPr>
              <w:widowControl/>
              <w:spacing w:line="360" w:lineRule="auto"/>
              <w:contextualSpacing/>
              <w:jc w:val="center"/>
              <w:rPr>
                <w:rFonts w:hint="default" w:ascii="宋体" w:hAnsi="宋体" w:eastAsia="宋体" w:cs="宋体"/>
                <w:color w:val="000000"/>
                <w:kern w:val="0"/>
                <w:sz w:val="24"/>
                <w:szCs w:val="24"/>
              </w:rPr>
            </w:pPr>
          </w:p>
        </w:tc>
      </w:tr>
    </w:tbl>
    <w:p w14:paraId="4AD0FCB8">
      <w:pPr>
        <w:widowControl/>
        <w:shd w:val="clear" w:color="auto" w:fill="FFFFFF"/>
        <w:tabs>
          <w:tab w:val="left" w:pos="4650"/>
        </w:tabs>
        <w:spacing w:before="240" w:after="120" w:line="480" w:lineRule="atLeast"/>
        <w:jc w:val="left"/>
        <w:outlineLvl w:val="1"/>
        <w:rPr>
          <w:rFonts w:hint="default" w:ascii="宋体" w:hAnsi="宋体" w:eastAsia="宋体" w:cs="Arial"/>
          <w:b/>
          <w:kern w:val="0"/>
          <w:szCs w:val="32"/>
        </w:rPr>
      </w:pPr>
      <w:bookmarkStart w:id="2" w:name="_Toc53217153"/>
      <w:r>
        <w:rPr>
          <w:rFonts w:ascii="宋体" w:hAnsi="宋体" w:eastAsia="宋体" w:cs="Arial"/>
          <w:b/>
          <w:kern w:val="0"/>
          <w:szCs w:val="32"/>
        </w:rPr>
        <w:t>4、指导思想和基本准则</w:t>
      </w:r>
      <w:bookmarkEnd w:id="2"/>
      <w:r>
        <w:rPr>
          <w:rFonts w:hint="default" w:ascii="宋体" w:hAnsi="宋体" w:eastAsia="宋体" w:cs="Arial"/>
          <w:b/>
          <w:kern w:val="0"/>
          <w:szCs w:val="32"/>
        </w:rPr>
        <w:tab/>
      </w:r>
    </w:p>
    <w:p w14:paraId="4E7BF802">
      <w:pPr>
        <w:pStyle w:val="14"/>
        <w:spacing w:line="360" w:lineRule="auto"/>
        <w:ind w:firstLine="480" w:firstLineChars="200"/>
        <w:rPr>
          <w:rFonts w:hAnsi="宋体" w:cs="Arial"/>
          <w:color w:val="auto"/>
          <w:kern w:val="2"/>
        </w:rPr>
      </w:pPr>
      <w:r>
        <w:rPr>
          <w:rFonts w:hint="eastAsia" w:hAnsi="宋体" w:cs="Arial"/>
          <w:color w:val="auto"/>
          <w:kern w:val="2"/>
        </w:rPr>
        <w:t>根据公安部、国家保密局、国家密码管理局、国信办联合印发的《信息安全等级保护管理办法》（公通字〔2007〕43号）、《关于信息安全等级保护工作的实施意见》（公通字〔2004〕66号）、《关于开展全国重要信息系统安全等级保护定级工作的通知》（公信安〔2007〕861 号）、公安部《关于开展信息安全等级保护安全建设整改工作的指导意见》（公信安[2009]1429号）等文件精神，结合皖北经济技术学校工作实际，现拟对皖北经济技术学校重要信息系统实施网络安全等级保护测评，以进一步完善信息系统安全管理体系和技术防护体系，切实提高系统信息安全防护能力。</w:t>
      </w:r>
      <w:r>
        <w:rPr>
          <w:rFonts w:hAnsi="宋体" w:cs="Arial"/>
          <w:color w:val="auto"/>
          <w:kern w:val="2"/>
        </w:rPr>
        <w:t xml:space="preserve"> </w:t>
      </w:r>
    </w:p>
    <w:p w14:paraId="04E6446A">
      <w:pPr>
        <w:widowControl/>
        <w:shd w:val="clear" w:color="auto" w:fill="FFFFFF"/>
        <w:spacing w:before="240" w:after="120" w:line="480" w:lineRule="atLeast"/>
        <w:jc w:val="left"/>
        <w:outlineLvl w:val="1"/>
        <w:rPr>
          <w:rFonts w:hint="default" w:ascii="宋体" w:hAnsi="宋体" w:eastAsia="宋体" w:cs="Arial"/>
          <w:b/>
          <w:kern w:val="0"/>
          <w:szCs w:val="32"/>
        </w:rPr>
      </w:pPr>
      <w:bookmarkStart w:id="3" w:name="_Toc53217154"/>
      <w:r>
        <w:rPr>
          <w:rFonts w:ascii="宋体" w:hAnsi="宋体" w:eastAsia="宋体" w:cs="Arial"/>
          <w:b/>
          <w:kern w:val="0"/>
          <w:szCs w:val="32"/>
        </w:rPr>
        <w:t>5、等级保护测评主要包括以下几个方面：</w:t>
      </w:r>
      <w:bookmarkEnd w:id="3"/>
    </w:p>
    <w:p w14:paraId="10DB4843">
      <w:pPr>
        <w:pStyle w:val="3"/>
        <w:numPr>
          <w:ilvl w:val="0"/>
          <w:numId w:val="1"/>
        </w:numPr>
        <w:spacing w:before="240" w:after="120" w:line="360" w:lineRule="auto"/>
        <w:ind w:left="0" w:firstLine="482" w:firstLineChars="200"/>
        <w:rPr>
          <w:rFonts w:ascii="宋体" w:hAnsi="宋体"/>
          <w:b/>
          <w:sz w:val="24"/>
          <w:szCs w:val="24"/>
        </w:rPr>
      </w:pPr>
      <w:bookmarkStart w:id="4" w:name="_Toc46177951"/>
      <w:bookmarkStart w:id="5" w:name="_Hlk35596349"/>
      <w:r>
        <w:rPr>
          <w:rFonts w:hint="eastAsia" w:ascii="宋体" w:hAnsi="宋体"/>
          <w:b/>
          <w:sz w:val="24"/>
          <w:szCs w:val="24"/>
        </w:rPr>
        <w:t>等保测评：</w:t>
      </w:r>
      <w:r>
        <w:rPr>
          <w:rFonts w:hint="eastAsia" w:ascii="宋体" w:hAnsi="宋体"/>
          <w:bCs/>
          <w:sz w:val="24"/>
          <w:szCs w:val="24"/>
        </w:rPr>
        <w:t>完成包括安全物理环境、安全计算环境、安全区域边界、安全通信网络、安全管理中心和安全管理机构、安全管理制度、安全管理人员、安全建设管理和安全运维管理方面的测评工作；</w:t>
      </w:r>
      <w:bookmarkEnd w:id="4"/>
    </w:p>
    <w:p w14:paraId="476FFD31">
      <w:pPr>
        <w:pStyle w:val="3"/>
        <w:numPr>
          <w:ilvl w:val="0"/>
          <w:numId w:val="1"/>
        </w:numPr>
        <w:spacing w:before="240" w:after="120" w:line="360" w:lineRule="auto"/>
        <w:ind w:left="0" w:firstLine="482" w:firstLineChars="200"/>
        <w:rPr>
          <w:rFonts w:ascii="宋体" w:hAnsi="宋体"/>
          <w:b/>
          <w:sz w:val="24"/>
          <w:szCs w:val="24"/>
        </w:rPr>
      </w:pPr>
      <w:bookmarkStart w:id="6" w:name="_Toc46177952"/>
      <w:r>
        <w:rPr>
          <w:rFonts w:hint="eastAsia" w:ascii="宋体" w:hAnsi="宋体"/>
          <w:b/>
          <w:sz w:val="24"/>
          <w:szCs w:val="24"/>
        </w:rPr>
        <w:t>工具测试：</w:t>
      </w:r>
      <w:r>
        <w:rPr>
          <w:rFonts w:hint="eastAsia" w:ascii="宋体" w:hAnsi="宋体"/>
          <w:bCs/>
          <w:sz w:val="24"/>
          <w:szCs w:val="24"/>
        </w:rPr>
        <w:t>针对重要信息系统进行漏洞扫描、渗透测试等安全服务工作；</w:t>
      </w:r>
      <w:bookmarkEnd w:id="6"/>
    </w:p>
    <w:p w14:paraId="2E512C40">
      <w:pPr>
        <w:pStyle w:val="3"/>
        <w:numPr>
          <w:ilvl w:val="0"/>
          <w:numId w:val="1"/>
        </w:numPr>
        <w:spacing w:before="240" w:after="120" w:line="360" w:lineRule="auto"/>
        <w:ind w:left="0" w:firstLine="482" w:firstLineChars="200"/>
        <w:rPr>
          <w:rFonts w:ascii="宋体" w:hAnsi="宋体"/>
          <w:b/>
          <w:sz w:val="24"/>
          <w:szCs w:val="24"/>
        </w:rPr>
      </w:pPr>
      <w:bookmarkStart w:id="7" w:name="_Toc46177953"/>
      <w:r>
        <w:rPr>
          <w:rFonts w:hint="eastAsia" w:ascii="宋体" w:hAnsi="宋体"/>
          <w:b/>
          <w:sz w:val="24"/>
          <w:szCs w:val="24"/>
        </w:rPr>
        <w:t>整改建议：</w:t>
      </w:r>
      <w:r>
        <w:rPr>
          <w:rFonts w:hint="eastAsia" w:ascii="宋体" w:hAnsi="宋体"/>
          <w:bCs/>
          <w:sz w:val="24"/>
          <w:szCs w:val="24"/>
        </w:rPr>
        <w:t>投标人应根据现场测评中发现的问题，分析与GB/T 22239-2019、ISO/IEC 27001、ISO/IEC 20000、ISO 22301、ITIL和ITSS等行业最佳实践之间的差距，按照网络安全等级保护标准要求提出安全整改建议；</w:t>
      </w:r>
      <w:bookmarkEnd w:id="7"/>
    </w:p>
    <w:p w14:paraId="7B1B58DB">
      <w:pPr>
        <w:pStyle w:val="3"/>
        <w:numPr>
          <w:ilvl w:val="0"/>
          <w:numId w:val="1"/>
        </w:numPr>
        <w:spacing w:before="240" w:after="120" w:line="360" w:lineRule="auto"/>
        <w:ind w:left="0" w:firstLine="482" w:firstLineChars="200"/>
        <w:rPr>
          <w:rFonts w:ascii="宋体" w:hAnsi="宋体"/>
          <w:b/>
          <w:sz w:val="24"/>
          <w:szCs w:val="24"/>
        </w:rPr>
      </w:pPr>
      <w:bookmarkStart w:id="8" w:name="_Toc46177954"/>
      <w:r>
        <w:rPr>
          <w:rFonts w:hint="eastAsia" w:ascii="宋体" w:hAnsi="宋体"/>
          <w:b/>
          <w:sz w:val="24"/>
          <w:szCs w:val="24"/>
        </w:rPr>
        <w:t>编制测评报告：</w:t>
      </w:r>
      <w:r>
        <w:rPr>
          <w:rFonts w:hint="eastAsia" w:ascii="宋体" w:hAnsi="宋体"/>
          <w:bCs/>
          <w:sz w:val="24"/>
          <w:szCs w:val="24"/>
        </w:rPr>
        <w:t>完成上述工作后，投标人最后出具符合标准要求的信息系统网络安全等级保护测评报告。</w:t>
      </w:r>
      <w:bookmarkEnd w:id="5"/>
      <w:bookmarkEnd w:id="8"/>
    </w:p>
    <w:p w14:paraId="632CBFF2">
      <w:pPr>
        <w:widowControl/>
        <w:shd w:val="clear" w:color="auto" w:fill="FFFFFF"/>
        <w:spacing w:before="240" w:after="120" w:line="480" w:lineRule="atLeast"/>
        <w:jc w:val="left"/>
        <w:outlineLvl w:val="1"/>
        <w:rPr>
          <w:rFonts w:hint="default" w:ascii="宋体" w:hAnsi="宋体" w:eastAsia="宋体" w:cs="Arial"/>
          <w:b/>
          <w:kern w:val="0"/>
          <w:szCs w:val="32"/>
        </w:rPr>
      </w:pPr>
      <w:bookmarkStart w:id="9" w:name="_Toc53217156"/>
      <w:r>
        <w:rPr>
          <w:rFonts w:ascii="宋体" w:hAnsi="宋体" w:eastAsia="宋体" w:cs="Arial"/>
          <w:b/>
          <w:kern w:val="0"/>
          <w:szCs w:val="32"/>
        </w:rPr>
        <w:t>6、工作要求：</w:t>
      </w:r>
      <w:bookmarkEnd w:id="9"/>
    </w:p>
    <w:p w14:paraId="46CC8074">
      <w:pPr>
        <w:pStyle w:val="13"/>
        <w:numPr>
          <w:ilvl w:val="0"/>
          <w:numId w:val="2"/>
        </w:numPr>
        <w:spacing w:line="360" w:lineRule="auto"/>
        <w:ind w:firstLineChars="0"/>
        <w:outlineLvl w:val="2"/>
        <w:rPr>
          <w:rFonts w:ascii="宋体" w:hAnsi="宋体" w:eastAsia="宋体" w:cs="Arial"/>
          <w:b/>
          <w:sz w:val="24"/>
          <w:szCs w:val="24"/>
        </w:rPr>
      </w:pPr>
      <w:bookmarkStart w:id="10" w:name="_Toc46177957"/>
      <w:bookmarkStart w:id="11" w:name="_Toc52369337"/>
      <w:bookmarkStart w:id="12" w:name="_Toc53217157"/>
      <w:r>
        <w:rPr>
          <w:rFonts w:hint="eastAsia" w:ascii="宋体" w:hAnsi="宋体" w:eastAsia="宋体" w:cs="Arial"/>
          <w:b/>
          <w:sz w:val="24"/>
          <w:szCs w:val="24"/>
        </w:rPr>
        <w:t>实施原则</w:t>
      </w:r>
      <w:bookmarkEnd w:id="10"/>
      <w:bookmarkEnd w:id="11"/>
      <w:bookmarkEnd w:id="12"/>
    </w:p>
    <w:p w14:paraId="2E68BE4E">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规范性原则：成交供应商工作中的过程和文档，具有很好的规范性，可以便于项目的跟踪和控制；</w:t>
      </w:r>
    </w:p>
    <w:p w14:paraId="035979DA">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标准性原则：测评方案的设计与实施应依据国家等级保护的相关标准进行。</w:t>
      </w:r>
    </w:p>
    <w:p w14:paraId="1AA44690">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可控性原则：测评的工具、方法和过程需在双方认可的范围之内并符合进度表的安排，保证采购人对服务工作的可控性；</w:t>
      </w:r>
    </w:p>
    <w:p w14:paraId="2B33B5CA">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整体性原则：测评和分析的范围和内容应当整体全面，包括安全涉及的各个层面，避免由于遗漏造成未来的安全隐患；</w:t>
      </w:r>
    </w:p>
    <w:p w14:paraId="79D1D80D">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最小影响原则：测评工作应尽可能小的影响系统和网络的正常运行，不能对现网的运行和业务的正常提供产生显著影响(包括系统性能明显下降、网络拥塞、服务中断，如无法避免出现这些情况应在应答书上详细描述)；</w:t>
      </w:r>
    </w:p>
    <w:p w14:paraId="025A6A7B">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保密原则：对测评的过程数据和结果数据严格保密，未经授权不得泄露给任何单位和个人，不得利用此数据进行任何侵害采购人网络的行为，否则采购人有权追究责任。</w:t>
      </w:r>
    </w:p>
    <w:p w14:paraId="61B3989E">
      <w:pPr>
        <w:pStyle w:val="13"/>
        <w:numPr>
          <w:ilvl w:val="0"/>
          <w:numId w:val="2"/>
        </w:numPr>
        <w:spacing w:line="360" w:lineRule="auto"/>
        <w:ind w:firstLineChars="0"/>
        <w:outlineLvl w:val="2"/>
        <w:rPr>
          <w:rFonts w:ascii="宋体" w:hAnsi="宋体" w:eastAsia="宋体" w:cs="Arial"/>
          <w:b/>
          <w:sz w:val="24"/>
          <w:szCs w:val="24"/>
        </w:rPr>
      </w:pPr>
      <w:bookmarkStart w:id="13" w:name="_Toc52369338"/>
      <w:bookmarkStart w:id="14" w:name="_Toc53217158"/>
      <w:bookmarkStart w:id="15" w:name="_Toc46177958"/>
      <w:r>
        <w:rPr>
          <w:rFonts w:hint="eastAsia" w:ascii="宋体" w:hAnsi="宋体" w:eastAsia="宋体" w:cs="Arial"/>
          <w:b/>
          <w:sz w:val="24"/>
          <w:szCs w:val="24"/>
        </w:rPr>
        <w:t>测评依据</w:t>
      </w:r>
      <w:bookmarkEnd w:id="13"/>
      <w:bookmarkEnd w:id="14"/>
      <w:bookmarkEnd w:id="15"/>
    </w:p>
    <w:p w14:paraId="41F2DE7C">
      <w:pPr>
        <w:tabs>
          <w:tab w:val="left" w:pos="720"/>
        </w:tabs>
        <w:adjustRightInd w:val="0"/>
        <w:snapToGrid w:val="0"/>
        <w:spacing w:line="360" w:lineRule="auto"/>
        <w:ind w:firstLine="480" w:firstLineChars="200"/>
        <w:rPr>
          <w:rFonts w:hint="default" w:ascii="宋体" w:hAnsi="宋体" w:eastAsia="宋体" w:cs="Arial"/>
          <w:sz w:val="24"/>
          <w:szCs w:val="24"/>
        </w:rPr>
      </w:pPr>
      <w:r>
        <w:rPr>
          <w:rFonts w:ascii="宋体" w:hAnsi="宋体" w:eastAsia="宋体" w:cs="Arial"/>
          <w:sz w:val="24"/>
          <w:szCs w:val="24"/>
        </w:rPr>
        <w:t xml:space="preserve">《信息安全技术 网络安全等级保护基本要求》（GB/T 22239-2019） </w:t>
      </w:r>
    </w:p>
    <w:p w14:paraId="1D4E19E9">
      <w:pPr>
        <w:tabs>
          <w:tab w:val="left" w:pos="720"/>
        </w:tabs>
        <w:adjustRightInd w:val="0"/>
        <w:snapToGrid w:val="0"/>
        <w:spacing w:line="360" w:lineRule="auto"/>
        <w:ind w:firstLine="480" w:firstLineChars="200"/>
        <w:rPr>
          <w:rFonts w:hint="default" w:ascii="宋体" w:hAnsi="宋体" w:eastAsia="宋体" w:cs="Arial"/>
          <w:sz w:val="24"/>
          <w:szCs w:val="24"/>
        </w:rPr>
      </w:pPr>
      <w:r>
        <w:rPr>
          <w:rFonts w:ascii="宋体" w:hAnsi="宋体" w:eastAsia="宋体" w:cs="Arial"/>
          <w:sz w:val="24"/>
          <w:szCs w:val="24"/>
        </w:rPr>
        <w:t>《信息安全技术 网络安全等级保护定级指南》（GB/T 22240-2020）</w:t>
      </w:r>
    </w:p>
    <w:p w14:paraId="5844B178">
      <w:pPr>
        <w:tabs>
          <w:tab w:val="left" w:pos="720"/>
        </w:tabs>
        <w:adjustRightInd w:val="0"/>
        <w:snapToGrid w:val="0"/>
        <w:spacing w:line="360" w:lineRule="auto"/>
        <w:ind w:firstLine="480" w:firstLineChars="200"/>
        <w:rPr>
          <w:rFonts w:hint="default" w:ascii="宋体" w:hAnsi="宋体" w:eastAsia="宋体" w:cs="Arial"/>
          <w:sz w:val="24"/>
          <w:szCs w:val="24"/>
        </w:rPr>
      </w:pPr>
      <w:r>
        <w:rPr>
          <w:rFonts w:ascii="宋体" w:hAnsi="宋体" w:eastAsia="宋体" w:cs="Arial"/>
          <w:sz w:val="24"/>
          <w:szCs w:val="24"/>
        </w:rPr>
        <w:t xml:space="preserve">《信息安全技术 网络安全等级保护测评要求》（GB/T 28448-2019） </w:t>
      </w:r>
    </w:p>
    <w:p w14:paraId="5E5940C7">
      <w:pPr>
        <w:tabs>
          <w:tab w:val="left" w:pos="720"/>
        </w:tabs>
        <w:adjustRightInd w:val="0"/>
        <w:snapToGrid w:val="0"/>
        <w:spacing w:line="360" w:lineRule="auto"/>
        <w:ind w:firstLine="480" w:firstLineChars="200"/>
        <w:rPr>
          <w:rFonts w:hint="default" w:ascii="宋体" w:hAnsi="宋体" w:eastAsia="宋体" w:cs="Arial"/>
          <w:sz w:val="24"/>
          <w:szCs w:val="24"/>
        </w:rPr>
      </w:pPr>
      <w:r>
        <w:rPr>
          <w:rFonts w:ascii="宋体" w:hAnsi="宋体" w:eastAsia="宋体" w:cs="Arial"/>
          <w:sz w:val="24"/>
          <w:szCs w:val="24"/>
        </w:rPr>
        <w:t>《信息安全技术 网络安全等级保护测评过程指南》（GB∕T 28449-2018）</w:t>
      </w:r>
    </w:p>
    <w:p w14:paraId="2116F99F">
      <w:pPr>
        <w:pStyle w:val="13"/>
        <w:numPr>
          <w:ilvl w:val="0"/>
          <w:numId w:val="2"/>
        </w:numPr>
        <w:spacing w:line="360" w:lineRule="auto"/>
        <w:ind w:firstLineChars="0"/>
        <w:rPr>
          <w:rFonts w:ascii="宋体" w:hAnsi="宋体" w:eastAsia="宋体" w:cs="Arial"/>
          <w:b/>
          <w:sz w:val="24"/>
          <w:szCs w:val="24"/>
        </w:rPr>
      </w:pPr>
      <w:r>
        <w:rPr>
          <w:rFonts w:hint="eastAsia" w:ascii="宋体" w:hAnsi="宋体" w:eastAsia="宋体" w:cs="Arial"/>
          <w:b/>
          <w:sz w:val="24"/>
          <w:szCs w:val="24"/>
        </w:rPr>
        <w:t>等级保护测评内容</w:t>
      </w:r>
    </w:p>
    <w:p w14:paraId="09730EC0">
      <w:pPr>
        <w:snapToGrid w:val="0"/>
        <w:spacing w:line="360" w:lineRule="auto"/>
        <w:ind w:firstLine="480" w:firstLineChars="200"/>
        <w:rPr>
          <w:rFonts w:hint="default" w:ascii="宋体" w:hAnsi="宋体" w:eastAsia="宋体"/>
          <w:sz w:val="24"/>
          <w:szCs w:val="24"/>
        </w:rPr>
      </w:pPr>
      <w:bookmarkStart w:id="16" w:name="_Toc287704425"/>
      <w:bookmarkStart w:id="17" w:name="_Toc288574635"/>
      <w:bookmarkStart w:id="18" w:name="_Toc288552020"/>
      <w:bookmarkStart w:id="19" w:name="_Toc288570237"/>
      <w:r>
        <w:rPr>
          <w:rFonts w:ascii="宋体" w:hAnsi="宋体" w:eastAsia="宋体"/>
          <w:sz w:val="24"/>
          <w:szCs w:val="24"/>
        </w:rPr>
        <w:t>根据国家等级保护相关标准，本次项目的网络安全等级保护测评应包括以下内容：</w:t>
      </w:r>
    </w:p>
    <w:bookmarkEnd w:id="16"/>
    <w:bookmarkEnd w:id="17"/>
    <w:bookmarkEnd w:id="18"/>
    <w:bookmarkEnd w:id="19"/>
    <w:p w14:paraId="1E0981E4">
      <w:pPr>
        <w:pStyle w:val="16"/>
        <w:overflowPunct w:val="0"/>
        <w:topLinePunct/>
        <w:spacing w:line="360" w:lineRule="auto"/>
        <w:ind w:firstLine="480" w:firstLineChars="200"/>
        <w:rPr>
          <w:color w:val="auto"/>
          <w:sz w:val="24"/>
          <w:szCs w:val="24"/>
        </w:rPr>
      </w:pPr>
      <w:r>
        <w:rPr>
          <w:color w:val="auto"/>
          <w:sz w:val="24"/>
          <w:szCs w:val="24"/>
        </w:rPr>
        <w:t>安全技术测评：</w:t>
      </w:r>
      <w:r>
        <w:rPr>
          <w:rFonts w:hint="eastAsia"/>
          <w:color w:val="auto"/>
          <w:sz w:val="24"/>
          <w:szCs w:val="24"/>
        </w:rPr>
        <w:t>包括安全物理环境</w:t>
      </w:r>
      <w:r>
        <w:rPr>
          <w:color w:val="auto"/>
          <w:sz w:val="24"/>
          <w:szCs w:val="24"/>
        </w:rPr>
        <w:t>、安全</w:t>
      </w:r>
      <w:r>
        <w:rPr>
          <w:rFonts w:hint="eastAsia"/>
          <w:color w:val="auto"/>
          <w:sz w:val="24"/>
          <w:szCs w:val="24"/>
        </w:rPr>
        <w:t>通信</w:t>
      </w:r>
      <w:r>
        <w:rPr>
          <w:color w:val="auto"/>
          <w:sz w:val="24"/>
          <w:szCs w:val="24"/>
        </w:rPr>
        <w:t>网络</w:t>
      </w:r>
      <w:r>
        <w:rPr>
          <w:rFonts w:hint="eastAsia"/>
          <w:color w:val="auto"/>
          <w:sz w:val="24"/>
          <w:szCs w:val="24"/>
        </w:rPr>
        <w:t>、</w:t>
      </w:r>
      <w:r>
        <w:rPr>
          <w:color w:val="auto"/>
          <w:sz w:val="24"/>
          <w:szCs w:val="24"/>
        </w:rPr>
        <w:t>安全</w:t>
      </w:r>
      <w:r>
        <w:rPr>
          <w:rFonts w:hint="eastAsia"/>
          <w:color w:val="auto"/>
          <w:sz w:val="24"/>
          <w:szCs w:val="24"/>
        </w:rPr>
        <w:t>区域边界、安全计算环境、安全管理中心</w:t>
      </w:r>
      <w:r>
        <w:rPr>
          <w:color w:val="auto"/>
          <w:sz w:val="24"/>
          <w:szCs w:val="24"/>
        </w:rPr>
        <w:t>等</w:t>
      </w:r>
      <w:r>
        <w:rPr>
          <w:rFonts w:hint="eastAsia"/>
          <w:color w:val="auto"/>
          <w:sz w:val="24"/>
          <w:szCs w:val="24"/>
        </w:rPr>
        <w:t>五个方面的安全</w:t>
      </w:r>
      <w:r>
        <w:rPr>
          <w:color w:val="auto"/>
          <w:sz w:val="24"/>
          <w:szCs w:val="24"/>
        </w:rPr>
        <w:t>测评；</w:t>
      </w:r>
    </w:p>
    <w:p w14:paraId="6DC8CCC2">
      <w:pPr>
        <w:pStyle w:val="16"/>
        <w:overflowPunct w:val="0"/>
        <w:topLinePunct/>
        <w:spacing w:line="360" w:lineRule="auto"/>
        <w:ind w:firstLine="480" w:firstLineChars="200"/>
        <w:rPr>
          <w:color w:val="auto"/>
          <w:sz w:val="24"/>
          <w:szCs w:val="24"/>
        </w:rPr>
      </w:pPr>
      <w:r>
        <w:rPr>
          <w:color w:val="auto"/>
          <w:sz w:val="24"/>
          <w:szCs w:val="24"/>
        </w:rPr>
        <w:t>安全管理测评：</w:t>
      </w:r>
      <w:r>
        <w:rPr>
          <w:rFonts w:hint="eastAsia"/>
          <w:color w:val="auto"/>
          <w:sz w:val="24"/>
          <w:szCs w:val="24"/>
        </w:rPr>
        <w:t>包括</w:t>
      </w:r>
      <w:r>
        <w:rPr>
          <w:color w:val="auto"/>
          <w:sz w:val="24"/>
          <w:szCs w:val="24"/>
        </w:rPr>
        <w:t>安全管理</w:t>
      </w:r>
      <w:r>
        <w:rPr>
          <w:rFonts w:hint="eastAsia"/>
          <w:color w:val="auto"/>
          <w:sz w:val="24"/>
          <w:szCs w:val="24"/>
        </w:rPr>
        <w:t>制度</w:t>
      </w:r>
      <w:r>
        <w:rPr>
          <w:color w:val="auto"/>
          <w:sz w:val="24"/>
          <w:szCs w:val="24"/>
        </w:rPr>
        <w:t>、安全管理</w:t>
      </w:r>
      <w:r>
        <w:rPr>
          <w:rFonts w:hint="eastAsia"/>
          <w:color w:val="auto"/>
          <w:sz w:val="24"/>
          <w:szCs w:val="24"/>
        </w:rPr>
        <w:t>机构、</w:t>
      </w:r>
      <w:r>
        <w:rPr>
          <w:color w:val="auto"/>
          <w:sz w:val="24"/>
          <w:szCs w:val="24"/>
        </w:rPr>
        <w:t>安全管理人员、</w:t>
      </w:r>
      <w:r>
        <w:rPr>
          <w:rFonts w:hint="eastAsia"/>
          <w:color w:val="auto"/>
          <w:sz w:val="24"/>
          <w:szCs w:val="24"/>
        </w:rPr>
        <w:t>安全</w:t>
      </w:r>
      <w:r>
        <w:rPr>
          <w:color w:val="auto"/>
          <w:sz w:val="24"/>
          <w:szCs w:val="24"/>
        </w:rPr>
        <w:t>建设管理和</w:t>
      </w:r>
      <w:r>
        <w:rPr>
          <w:rFonts w:hint="eastAsia"/>
          <w:color w:val="auto"/>
          <w:sz w:val="24"/>
          <w:szCs w:val="24"/>
        </w:rPr>
        <w:t>安全</w:t>
      </w:r>
      <w:r>
        <w:rPr>
          <w:color w:val="auto"/>
          <w:sz w:val="24"/>
          <w:szCs w:val="24"/>
        </w:rPr>
        <w:t>运维管理等</w:t>
      </w:r>
      <w:r>
        <w:rPr>
          <w:rFonts w:hint="eastAsia"/>
          <w:color w:val="auto"/>
          <w:sz w:val="24"/>
          <w:szCs w:val="24"/>
        </w:rPr>
        <w:t>五</w:t>
      </w:r>
      <w:r>
        <w:rPr>
          <w:color w:val="auto"/>
          <w:sz w:val="24"/>
          <w:szCs w:val="24"/>
        </w:rPr>
        <w:t>个方面的安全测评</w:t>
      </w:r>
      <w:r>
        <w:rPr>
          <w:rFonts w:hint="eastAsia"/>
          <w:sz w:val="24"/>
          <w:szCs w:val="24"/>
        </w:rPr>
        <w:t>。</w:t>
      </w:r>
    </w:p>
    <w:p w14:paraId="4B6432E0">
      <w:pPr>
        <w:numPr>
          <w:ilvl w:val="1"/>
          <w:numId w:val="3"/>
        </w:numPr>
        <w:spacing w:line="360" w:lineRule="auto"/>
        <w:ind w:left="640" w:leftChars="200" w:firstLine="0"/>
        <w:outlineLvl w:val="4"/>
        <w:rPr>
          <w:rFonts w:hint="default" w:ascii="宋体" w:hAnsi="宋体" w:eastAsia="宋体"/>
          <w:b/>
          <w:sz w:val="24"/>
          <w:szCs w:val="24"/>
        </w:rPr>
      </w:pPr>
      <w:bookmarkStart w:id="20" w:name="_Toc4424566"/>
      <w:r>
        <w:rPr>
          <w:rFonts w:ascii="宋体" w:hAnsi="宋体" w:eastAsia="宋体"/>
          <w:b/>
          <w:sz w:val="24"/>
          <w:szCs w:val="24"/>
        </w:rPr>
        <w:t>安全物理</w:t>
      </w:r>
      <w:bookmarkEnd w:id="20"/>
      <w:r>
        <w:rPr>
          <w:rFonts w:ascii="宋体" w:hAnsi="宋体" w:eastAsia="宋体"/>
          <w:b/>
          <w:sz w:val="24"/>
          <w:szCs w:val="24"/>
        </w:rPr>
        <w:t>环境</w:t>
      </w:r>
    </w:p>
    <w:p w14:paraId="5E0093B7">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物理环境是对机房和办公场所的物理环境安全防护情况进行测评，包括物理位置选择、物理访问控制、防盗窃和防破坏、防雷击、防火、防水和防潮、防静电、温湿度控制、电力供应和电磁防护等方面的安全状况。</w:t>
      </w:r>
    </w:p>
    <w:p w14:paraId="572FB33D">
      <w:pPr>
        <w:numPr>
          <w:ilvl w:val="1"/>
          <w:numId w:val="3"/>
        </w:numPr>
        <w:spacing w:line="360" w:lineRule="auto"/>
        <w:ind w:left="640" w:leftChars="200" w:firstLine="0"/>
        <w:outlineLvl w:val="4"/>
        <w:rPr>
          <w:rFonts w:hint="default" w:ascii="宋体" w:hAnsi="宋体" w:eastAsia="宋体"/>
          <w:b/>
          <w:sz w:val="24"/>
          <w:szCs w:val="24"/>
        </w:rPr>
      </w:pPr>
      <w:bookmarkStart w:id="21" w:name="_Toc4424567"/>
      <w:r>
        <w:rPr>
          <w:rFonts w:ascii="宋体" w:hAnsi="宋体" w:eastAsia="宋体"/>
          <w:b/>
          <w:sz w:val="24"/>
          <w:szCs w:val="24"/>
        </w:rPr>
        <w:t>安全通信网络</w:t>
      </w:r>
      <w:bookmarkEnd w:id="21"/>
    </w:p>
    <w:p w14:paraId="5BFC0A3E">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安全通信网络测评是对网络系统安全防护情况进行测评，包括网络架构、通信传输、可信验证等方面的安全状况。</w:t>
      </w:r>
    </w:p>
    <w:p w14:paraId="6F21D99E">
      <w:pPr>
        <w:numPr>
          <w:ilvl w:val="1"/>
          <w:numId w:val="3"/>
        </w:numPr>
        <w:spacing w:line="360" w:lineRule="auto"/>
        <w:ind w:left="640" w:leftChars="200" w:firstLine="0"/>
        <w:outlineLvl w:val="4"/>
        <w:rPr>
          <w:rFonts w:hint="default" w:ascii="宋体" w:hAnsi="宋体" w:eastAsia="宋体"/>
          <w:b/>
          <w:sz w:val="24"/>
          <w:szCs w:val="24"/>
        </w:rPr>
      </w:pPr>
      <w:r>
        <w:rPr>
          <w:rFonts w:ascii="宋体" w:hAnsi="宋体" w:eastAsia="宋体"/>
          <w:b/>
          <w:sz w:val="24"/>
          <w:szCs w:val="24"/>
        </w:rPr>
        <w:t>安全区域边界</w:t>
      </w:r>
    </w:p>
    <w:p w14:paraId="00A66E39">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安全区域边界是对边界防护、访问控制、入侵防范、恶意代码防范、安全审计、可信验证等方面的测评。</w:t>
      </w:r>
    </w:p>
    <w:p w14:paraId="0BDF42DF">
      <w:pPr>
        <w:numPr>
          <w:ilvl w:val="1"/>
          <w:numId w:val="3"/>
        </w:numPr>
        <w:spacing w:line="360" w:lineRule="auto"/>
        <w:ind w:left="640" w:leftChars="200" w:firstLine="0"/>
        <w:outlineLvl w:val="4"/>
        <w:rPr>
          <w:rFonts w:hint="default" w:ascii="宋体" w:hAnsi="宋体" w:eastAsia="宋体"/>
          <w:b/>
          <w:sz w:val="24"/>
          <w:szCs w:val="24"/>
        </w:rPr>
      </w:pPr>
      <w:bookmarkStart w:id="22" w:name="_Toc4424569"/>
      <w:r>
        <w:rPr>
          <w:rFonts w:ascii="宋体" w:hAnsi="宋体" w:eastAsia="宋体"/>
          <w:b/>
          <w:sz w:val="24"/>
          <w:szCs w:val="24"/>
        </w:rPr>
        <w:t>安全</w:t>
      </w:r>
      <w:bookmarkEnd w:id="22"/>
      <w:r>
        <w:rPr>
          <w:rFonts w:ascii="宋体" w:hAnsi="宋体" w:eastAsia="宋体"/>
          <w:b/>
          <w:sz w:val="24"/>
          <w:szCs w:val="24"/>
        </w:rPr>
        <w:t>计算环境</w:t>
      </w:r>
    </w:p>
    <w:p w14:paraId="0F152767">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安全计算环境是对身份鉴别、访问控制、安全审计、入侵防范、恶意代码防范、可信验证、数据完整性、数据保密性、数据备份恢复、剩余信息保护、个人信息保护等方面的测评。</w:t>
      </w:r>
    </w:p>
    <w:p w14:paraId="399556D9">
      <w:pPr>
        <w:numPr>
          <w:ilvl w:val="1"/>
          <w:numId w:val="3"/>
        </w:numPr>
        <w:spacing w:line="360" w:lineRule="auto"/>
        <w:ind w:left="640" w:leftChars="200" w:firstLine="0"/>
        <w:outlineLvl w:val="4"/>
        <w:rPr>
          <w:rFonts w:hint="default" w:ascii="宋体" w:hAnsi="宋体" w:eastAsia="宋体"/>
          <w:b/>
          <w:sz w:val="24"/>
          <w:szCs w:val="24"/>
        </w:rPr>
      </w:pPr>
      <w:r>
        <w:rPr>
          <w:rFonts w:ascii="宋体" w:hAnsi="宋体" w:eastAsia="宋体"/>
          <w:b/>
          <w:sz w:val="24"/>
          <w:szCs w:val="24"/>
        </w:rPr>
        <w:t>安全管理中心</w:t>
      </w:r>
    </w:p>
    <w:p w14:paraId="31319C69">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安全管理中心是对系统管理、审计管理、安全管理、集中管控等方面的测评。</w:t>
      </w:r>
    </w:p>
    <w:p w14:paraId="574A3492">
      <w:pPr>
        <w:numPr>
          <w:ilvl w:val="1"/>
          <w:numId w:val="3"/>
        </w:numPr>
        <w:spacing w:line="360" w:lineRule="auto"/>
        <w:ind w:left="640" w:leftChars="200" w:firstLine="0"/>
        <w:outlineLvl w:val="4"/>
        <w:rPr>
          <w:rFonts w:hint="default" w:ascii="宋体" w:hAnsi="宋体" w:eastAsia="宋体"/>
          <w:b/>
          <w:sz w:val="24"/>
          <w:szCs w:val="24"/>
        </w:rPr>
      </w:pPr>
      <w:bookmarkStart w:id="23" w:name="_Toc4424571"/>
      <w:r>
        <w:rPr>
          <w:rFonts w:ascii="宋体" w:hAnsi="宋体" w:eastAsia="宋体"/>
          <w:b/>
          <w:sz w:val="24"/>
          <w:szCs w:val="24"/>
        </w:rPr>
        <w:t>安全管理制度</w:t>
      </w:r>
      <w:bookmarkEnd w:id="23"/>
    </w:p>
    <w:p w14:paraId="54CFA95E">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安全管理制度测评是对安全策略、管理制度、制定和发布、评审和修订进行测评。</w:t>
      </w:r>
    </w:p>
    <w:p w14:paraId="3DA15D4E">
      <w:pPr>
        <w:numPr>
          <w:ilvl w:val="1"/>
          <w:numId w:val="3"/>
        </w:numPr>
        <w:spacing w:line="360" w:lineRule="auto"/>
        <w:ind w:left="640" w:leftChars="200" w:firstLine="0"/>
        <w:outlineLvl w:val="4"/>
        <w:rPr>
          <w:rFonts w:hint="default" w:ascii="宋体" w:hAnsi="宋体" w:eastAsia="宋体"/>
          <w:b/>
          <w:sz w:val="24"/>
          <w:szCs w:val="24"/>
        </w:rPr>
      </w:pPr>
      <w:bookmarkStart w:id="24" w:name="_Toc4424572"/>
      <w:r>
        <w:rPr>
          <w:rFonts w:ascii="宋体" w:hAnsi="宋体" w:eastAsia="宋体"/>
          <w:b/>
          <w:sz w:val="24"/>
          <w:szCs w:val="24"/>
        </w:rPr>
        <w:t>安全管理机构</w:t>
      </w:r>
      <w:bookmarkEnd w:id="24"/>
    </w:p>
    <w:p w14:paraId="72855139">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安全管理机构测评是对岗位设置、人员配备、授权和审批、沟通和合作、审核和检查等情况进行测评。</w:t>
      </w:r>
    </w:p>
    <w:p w14:paraId="7F89FA61">
      <w:pPr>
        <w:numPr>
          <w:ilvl w:val="1"/>
          <w:numId w:val="3"/>
        </w:numPr>
        <w:spacing w:line="360" w:lineRule="auto"/>
        <w:ind w:left="640" w:leftChars="200" w:firstLine="0"/>
        <w:outlineLvl w:val="4"/>
        <w:rPr>
          <w:rFonts w:hint="default" w:ascii="宋体" w:hAnsi="宋体" w:eastAsia="宋体"/>
          <w:b/>
          <w:sz w:val="24"/>
          <w:szCs w:val="24"/>
        </w:rPr>
      </w:pPr>
      <w:bookmarkStart w:id="25" w:name="_Toc4424573"/>
      <w:r>
        <w:rPr>
          <w:rFonts w:ascii="宋体" w:hAnsi="宋体" w:eastAsia="宋体"/>
          <w:b/>
          <w:sz w:val="24"/>
          <w:szCs w:val="24"/>
        </w:rPr>
        <w:t>安全管理</w:t>
      </w:r>
      <w:bookmarkEnd w:id="25"/>
      <w:r>
        <w:rPr>
          <w:rFonts w:ascii="宋体" w:hAnsi="宋体" w:eastAsia="宋体"/>
          <w:b/>
          <w:sz w:val="24"/>
          <w:szCs w:val="24"/>
        </w:rPr>
        <w:t>人员</w:t>
      </w:r>
    </w:p>
    <w:p w14:paraId="6B57530C">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安全管理人员测评是对人员录用、人员离岗、安全意识教育和培训、外部人员访问管理等情况进行测评。</w:t>
      </w:r>
    </w:p>
    <w:p w14:paraId="1019DE49">
      <w:pPr>
        <w:numPr>
          <w:ilvl w:val="1"/>
          <w:numId w:val="3"/>
        </w:numPr>
        <w:spacing w:line="360" w:lineRule="auto"/>
        <w:ind w:left="640" w:leftChars="200" w:firstLine="0"/>
        <w:outlineLvl w:val="4"/>
        <w:rPr>
          <w:rFonts w:hint="default" w:ascii="宋体" w:hAnsi="宋体" w:eastAsia="宋体"/>
          <w:b/>
          <w:sz w:val="24"/>
          <w:szCs w:val="24"/>
        </w:rPr>
      </w:pPr>
      <w:bookmarkStart w:id="26" w:name="_Toc4424574"/>
      <w:r>
        <w:rPr>
          <w:rFonts w:ascii="宋体" w:hAnsi="宋体" w:eastAsia="宋体"/>
          <w:b/>
          <w:sz w:val="24"/>
          <w:szCs w:val="24"/>
        </w:rPr>
        <w:t>安全建设管理</w:t>
      </w:r>
      <w:bookmarkEnd w:id="26"/>
    </w:p>
    <w:p w14:paraId="4B7151CA">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安全建设管理测评是对建设过程中安全方案设计、产品采购和使用、自行软件开发、外包软件开发、 工程实施、测试验收、系统交付、 等级测评、服务供应商选择等情况进行测评。</w:t>
      </w:r>
    </w:p>
    <w:p w14:paraId="555B7FDC">
      <w:pPr>
        <w:numPr>
          <w:ilvl w:val="1"/>
          <w:numId w:val="3"/>
        </w:numPr>
        <w:spacing w:line="360" w:lineRule="auto"/>
        <w:ind w:left="640" w:leftChars="200" w:firstLine="0"/>
        <w:outlineLvl w:val="4"/>
        <w:rPr>
          <w:rFonts w:hint="default" w:ascii="宋体" w:hAnsi="宋体" w:eastAsia="宋体"/>
          <w:b/>
          <w:sz w:val="24"/>
          <w:szCs w:val="24"/>
        </w:rPr>
      </w:pPr>
      <w:bookmarkStart w:id="27" w:name="_Toc4424575"/>
      <w:r>
        <w:rPr>
          <w:rFonts w:ascii="宋体" w:hAnsi="宋体" w:eastAsia="宋体"/>
          <w:b/>
          <w:sz w:val="24"/>
          <w:szCs w:val="24"/>
        </w:rPr>
        <w:t>安全运维管理</w:t>
      </w:r>
      <w:bookmarkEnd w:id="27"/>
    </w:p>
    <w:p w14:paraId="1C57C5F1">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安全运维管理测评是对环境管理、资产管理、介质管理、设备维护管理、漏洞和风险管理、网络和系统安全管理、恶意代码防范管理、配置管理、密码管理、变更管理、备份与恢复管理、安全事件处置、 应急预案管理、外包运维管理等情况进行测评。</w:t>
      </w:r>
    </w:p>
    <w:p w14:paraId="1F3DFE92">
      <w:pPr>
        <w:widowControl/>
        <w:shd w:val="clear" w:color="auto" w:fill="FFFFFF"/>
        <w:spacing w:before="240" w:after="120" w:line="480" w:lineRule="atLeast"/>
        <w:jc w:val="left"/>
        <w:outlineLvl w:val="1"/>
        <w:rPr>
          <w:rFonts w:hint="default" w:ascii="宋体" w:hAnsi="宋体" w:eastAsia="宋体" w:cs="Arial"/>
          <w:b/>
          <w:color w:val="000000" w:themeColor="text1"/>
          <w:kern w:val="0"/>
          <w:szCs w:val="32"/>
          <w14:textFill>
            <w14:solidFill>
              <w14:schemeClr w14:val="tx1"/>
            </w14:solidFill>
          </w14:textFill>
        </w:rPr>
      </w:pPr>
      <w:r>
        <w:rPr>
          <w:rFonts w:ascii="宋体" w:hAnsi="宋体" w:eastAsia="宋体" w:cs="Arial"/>
          <w:b/>
          <w:color w:val="000000" w:themeColor="text1"/>
          <w:kern w:val="0"/>
          <w:szCs w:val="32"/>
          <w14:textFill>
            <w14:solidFill>
              <w14:schemeClr w14:val="tx1"/>
            </w14:solidFill>
          </w14:textFill>
        </w:rPr>
        <w:t>7、其他要求</w:t>
      </w:r>
    </w:p>
    <w:p w14:paraId="6D02A897">
      <w:pPr>
        <w:tabs>
          <w:tab w:val="left" w:pos="720"/>
        </w:tabs>
        <w:adjustRightInd w:val="0"/>
        <w:snapToGrid w:val="0"/>
        <w:spacing w:line="360" w:lineRule="auto"/>
        <w:ind w:firstLine="480" w:firstLineChars="200"/>
        <w:rPr>
          <w:rFonts w:hint="default" w:ascii="宋体" w:hAnsi="宋体" w:eastAsia="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供应商拟派的安全服务团队不得少于4人，(至少包括1名高级测评师、1名中级测评师)1名项目经理和1名质量经理。成交供应商需保证在实施阶段主要技术人员必须是全职。项目经理需具有高级网络安全等级测评师证书、高级网络信息安全工程师证书、信息安全保障人员认证（CISAW）证书，且认证方向为风险管理和安全运维方向，质量经理需具有中级网络安全等级测评师证书、关键信息基础设施安全防护工程师证书，成交后向采购人提供相关证明材料，如果不能提供或提供的证明材料不符合要求，视为虚假响应。</w:t>
      </w:r>
    </w:p>
    <w:p w14:paraId="738D2B60">
      <w:pPr>
        <w:pStyle w:val="14"/>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粗黑宋简体">
    <w:altName w:val="宋体"/>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1303FE"/>
    <w:multiLevelType w:val="multilevel"/>
    <w:tmpl w:val="041303FE"/>
    <w:lvl w:ilvl="0" w:tentative="0">
      <w:start w:val="1"/>
      <w:numFmt w:val="decimal"/>
      <w:suff w:val="space"/>
      <w:lvlText w:val="%1)"/>
      <w:lvlJc w:val="left"/>
      <w:pPr>
        <w:ind w:left="845" w:hanging="420"/>
      </w:pPr>
      <w:rPr>
        <w:rFonts w:hint="eastAsia"/>
      </w:rPr>
    </w:lvl>
    <w:lvl w:ilvl="1" w:tentative="0">
      <w:start w:val="1"/>
      <w:numFmt w:val="lowerLetter"/>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1">
    <w:nsid w:val="1F7203B5"/>
    <w:multiLevelType w:val="multilevel"/>
    <w:tmpl w:val="1F7203B5"/>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2">
    <w:nsid w:val="6C792F9E"/>
    <w:multiLevelType w:val="multilevel"/>
    <w:tmpl w:val="6C792F9E"/>
    <w:lvl w:ilvl="0" w:tentative="0">
      <w:start w:val="1"/>
      <w:numFmt w:val="decimal"/>
      <w:lvlText w:val="%1"/>
      <w:lvlJc w:val="left"/>
      <w:pPr>
        <w:tabs>
          <w:tab w:val="left" w:pos="425"/>
        </w:tabs>
        <w:ind w:left="0" w:firstLine="0"/>
      </w:pPr>
      <w:rPr>
        <w:rFonts w:hint="eastAsia"/>
        <w:sz w:val="24"/>
        <w:szCs w:val="24"/>
      </w:rPr>
    </w:lvl>
    <w:lvl w:ilvl="1" w:tentative="0">
      <w:start w:val="1"/>
      <w:numFmt w:val="lowerLetter"/>
      <w:lvlText w:val="%2）"/>
      <w:lvlJc w:val="left"/>
      <w:pPr>
        <w:tabs>
          <w:tab w:val="left" w:pos="567"/>
        </w:tabs>
        <w:ind w:left="567" w:hanging="567"/>
      </w:pPr>
      <w:rPr>
        <w:rFonts w:hint="eastAsia"/>
        <w:sz w:val="24"/>
      </w:rPr>
    </w:lvl>
    <w:lvl w:ilvl="2" w:tentative="0">
      <w:start w:val="1"/>
      <w:numFmt w:val="decimal"/>
      <w:lvlText w:val="%1.%2.%3"/>
      <w:lvlJc w:val="left"/>
      <w:pPr>
        <w:tabs>
          <w:tab w:val="left" w:pos="851"/>
        </w:tabs>
        <w:ind w:left="851" w:hanging="709"/>
      </w:pPr>
      <w:rPr>
        <w:rFonts w:hint="eastAsia"/>
        <w:b w:val="0"/>
        <w:sz w:val="24"/>
        <w:szCs w:val="24"/>
      </w:rPr>
    </w:lvl>
    <w:lvl w:ilvl="3" w:tentative="0">
      <w:start w:val="1"/>
      <w:numFmt w:val="decimal"/>
      <w:lvlText w:val="%1.%2.%3.%4"/>
      <w:lvlJc w:val="left"/>
      <w:pPr>
        <w:tabs>
          <w:tab w:val="left" w:pos="851"/>
        </w:tabs>
        <w:ind w:left="851" w:hanging="851"/>
      </w:pPr>
      <w:rPr>
        <w:rFonts w:hint="default" w:ascii="等线" w:hAnsi="等线" w:eastAsia="等线"/>
        <w:b w:val="0"/>
        <w:i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807"/>
    <w:rsid w:val="00034B29"/>
    <w:rsid w:val="0008451E"/>
    <w:rsid w:val="00085C12"/>
    <w:rsid w:val="0026286E"/>
    <w:rsid w:val="002E7FDC"/>
    <w:rsid w:val="00303715"/>
    <w:rsid w:val="003640D2"/>
    <w:rsid w:val="003C1D61"/>
    <w:rsid w:val="005302BB"/>
    <w:rsid w:val="00544738"/>
    <w:rsid w:val="0057654D"/>
    <w:rsid w:val="00652858"/>
    <w:rsid w:val="006A67D1"/>
    <w:rsid w:val="007E1996"/>
    <w:rsid w:val="00892807"/>
    <w:rsid w:val="008A5AD6"/>
    <w:rsid w:val="008C2030"/>
    <w:rsid w:val="00905661"/>
    <w:rsid w:val="009C520E"/>
    <w:rsid w:val="009F199F"/>
    <w:rsid w:val="00A42265"/>
    <w:rsid w:val="00BC6B4B"/>
    <w:rsid w:val="00C27DA4"/>
    <w:rsid w:val="00CB206C"/>
    <w:rsid w:val="00D30C2C"/>
    <w:rsid w:val="00D90966"/>
    <w:rsid w:val="00DF04CA"/>
    <w:rsid w:val="00E83804"/>
    <w:rsid w:val="00F808F3"/>
    <w:rsid w:val="00F8252C"/>
    <w:rsid w:val="00FC071E"/>
    <w:rsid w:val="00FD55F0"/>
    <w:rsid w:val="00FF0C12"/>
    <w:rsid w:val="0F5418DA"/>
    <w:rsid w:val="12C020BD"/>
    <w:rsid w:val="2C266D62"/>
    <w:rsid w:val="32667334"/>
    <w:rsid w:val="5EBF2B42"/>
    <w:rsid w:val="68EC7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styleId="2">
    <w:name w:val="heading 1"/>
    <w:basedOn w:val="1"/>
    <w:next w:val="1"/>
    <w:link w:val="12"/>
    <w:qFormat/>
    <w:uiPriority w:val="0"/>
    <w:pPr>
      <w:keepNext/>
      <w:keepLines/>
      <w:spacing w:before="340" w:after="330" w:line="576" w:lineRule="auto"/>
      <w:outlineLvl w:val="0"/>
    </w:pPr>
    <w:rPr>
      <w:rFonts w:hint="default" w:eastAsia="方正粗黑宋简体"/>
      <w:kern w:val="44"/>
      <w:sz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15"/>
    <w:qFormat/>
    <w:uiPriority w:val="0"/>
    <w:pPr>
      <w:ind w:firstLine="420"/>
    </w:pPr>
    <w:rPr>
      <w:rFonts w:hint="default" w:eastAsia="宋体"/>
      <w:sz w:val="21"/>
    </w:rPr>
  </w:style>
  <w:style w:type="paragraph" w:styleId="4">
    <w:name w:val="Body Text Indent"/>
    <w:basedOn w:val="1"/>
    <w:link w:val="17"/>
    <w:semiHidden/>
    <w:unhideWhenUsed/>
    <w:qFormat/>
    <w:uiPriority w:val="99"/>
    <w:pPr>
      <w:spacing w:after="120"/>
      <w:ind w:left="420" w:leftChars="200"/>
    </w:p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link w:val="18"/>
    <w:semiHidden/>
    <w:unhideWhenUsed/>
    <w:qFormat/>
    <w:uiPriority w:val="99"/>
    <w:pPr>
      <w:ind w:firstLine="420" w:firstLineChars="200"/>
    </w:p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标题 1 字符"/>
    <w:basedOn w:val="9"/>
    <w:link w:val="2"/>
    <w:qFormat/>
    <w:uiPriority w:val="0"/>
    <w:rPr>
      <w:rFonts w:ascii="Times New Roman" w:hAnsi="Times New Roman" w:eastAsia="方正粗黑宋简体" w:cs="Times New Roman"/>
      <w:kern w:val="44"/>
      <w:sz w:val="44"/>
      <w:szCs w:val="20"/>
    </w:rPr>
  </w:style>
  <w:style w:type="paragraph" w:styleId="13">
    <w:name w:val="List Paragraph"/>
    <w:basedOn w:val="1"/>
    <w:link w:val="19"/>
    <w:qFormat/>
    <w:uiPriority w:val="34"/>
    <w:pPr>
      <w:ind w:firstLine="420" w:firstLineChars="200"/>
    </w:pPr>
    <w:rPr>
      <w:rFonts w:hint="default" w:asciiTheme="minorHAnsi" w:hAnsiTheme="minorHAnsi" w:eastAsiaTheme="minorEastAsia" w:cstheme="minorBidi"/>
      <w:sz w:val="21"/>
      <w:szCs w:val="22"/>
    </w:r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正文缩进 字符"/>
    <w:link w:val="3"/>
    <w:qFormat/>
    <w:uiPriority w:val="0"/>
    <w:rPr>
      <w:rFonts w:ascii="Times New Roman" w:hAnsi="Times New Roman" w:eastAsia="宋体" w:cs="Times New Roman"/>
      <w:szCs w:val="20"/>
    </w:rPr>
  </w:style>
  <w:style w:type="paragraph" w:customStyle="1" w:styleId="16">
    <w:name w:val="国标3级"/>
    <w:basedOn w:val="1"/>
    <w:semiHidden/>
    <w:qFormat/>
    <w:uiPriority w:val="0"/>
    <w:pPr>
      <w:snapToGrid w:val="0"/>
      <w:spacing w:line="312" w:lineRule="exact"/>
    </w:pPr>
    <w:rPr>
      <w:rFonts w:hint="default" w:ascii="宋体" w:hAnsi="宋体" w:eastAsia="宋体"/>
      <w:color w:val="000000"/>
      <w:sz w:val="21"/>
      <w:szCs w:val="22"/>
    </w:rPr>
  </w:style>
  <w:style w:type="character" w:customStyle="1" w:styleId="17">
    <w:name w:val="正文文本缩进 字符"/>
    <w:basedOn w:val="9"/>
    <w:link w:val="4"/>
    <w:semiHidden/>
    <w:uiPriority w:val="99"/>
    <w:rPr>
      <w:rFonts w:ascii="Times New Roman" w:hAnsi="Times New Roman" w:eastAsia="仿宋_GB2312" w:cs="Times New Roman"/>
      <w:sz w:val="32"/>
      <w:szCs w:val="20"/>
    </w:rPr>
  </w:style>
  <w:style w:type="character" w:customStyle="1" w:styleId="18">
    <w:name w:val="正文首行缩进 2 字符"/>
    <w:basedOn w:val="17"/>
    <w:link w:val="7"/>
    <w:semiHidden/>
    <w:qFormat/>
    <w:uiPriority w:val="99"/>
    <w:rPr>
      <w:rFonts w:ascii="Times New Roman" w:hAnsi="Times New Roman" w:eastAsia="仿宋_GB2312" w:cs="Times New Roman"/>
      <w:sz w:val="32"/>
      <w:szCs w:val="20"/>
    </w:rPr>
  </w:style>
  <w:style w:type="character" w:customStyle="1" w:styleId="19">
    <w:name w:val="列出段落 字符"/>
    <w:link w:val="13"/>
    <w:qFormat/>
    <w:locked/>
    <w:uiPriority w:val="34"/>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796F6-B56C-48FB-82A4-8693255F21E9}">
  <ds:schemaRefs/>
</ds:datastoreItem>
</file>

<file path=docProps/app.xml><?xml version="1.0" encoding="utf-8"?>
<Properties xmlns="http://schemas.openxmlformats.org/officeDocument/2006/extended-properties" xmlns:vt="http://schemas.openxmlformats.org/officeDocument/2006/docPropsVTypes">
  <Template>Normal</Template>
  <Pages>4</Pages>
  <Words>2453</Words>
  <Characters>2578</Characters>
  <Lines>20</Lines>
  <Paragraphs>5</Paragraphs>
  <TotalTime>16</TotalTime>
  <ScaleCrop>false</ScaleCrop>
  <LinksUpToDate>false</LinksUpToDate>
  <CharactersWithSpaces>2598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2025-07-09T04:37:00Z</dcterms:created>
  <dc:creator>刘 娟</dc:creator>
  <cp:lastModifiedBy>不靠谱儿</cp:lastModifiedBy>
  <dcterms:modified xsi:type="dcterms:W3CDTF">2025-07-11T03:09:21Z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eyJoZGlkIjoiNzY1YTUxYWY4M2U2MDcyMjNmMWRmYjgxY2FmMTc4MDAiLCJ1c2VySWQiOiIzMTY5NDY1MzcifQ==</vt:lpwstr>
  </property>
  <property fmtid="{D5CDD505-2E9C-101B-9397-08002B2CF9AE}" pid="3" name="KSOProductBuildVer">
    <vt:lpwstr>2052-12.1.0.21915</vt:lpwstr>
  </property>
  <property fmtid="{D5CDD505-2E9C-101B-9397-08002B2CF9AE}" pid="4" name="ICV">
    <vt:lpwstr>E66EFD83C48D4A5EAF0BE3D6784EB5C2_12</vt:lpwstr>
  </property>
</Properties>
</file>